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536D8">
      <w:pPr>
        <w:kinsoku w:val="0"/>
        <w:autoSpaceDE w:val="0"/>
        <w:autoSpaceDN w:val="0"/>
        <w:adjustRightInd w:val="0"/>
        <w:snapToGrid w:val="0"/>
        <w:spacing w:before="56" w:line="220" w:lineRule="auto"/>
        <w:jc w:val="center"/>
        <w:textAlignment w:val="baseline"/>
        <w:outlineLvl w:val="0"/>
        <w:rPr>
          <w:snapToGrid w:val="0"/>
          <w:color w:val="000000"/>
          <w:kern w:val="0"/>
          <w:sz w:val="28"/>
          <w:szCs w:val="28"/>
        </w:rPr>
      </w:pPr>
      <w:r>
        <w:t xml:space="preserve"> 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-202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学年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八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上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）道德与法治课堂限时训练</w:t>
      </w:r>
      <w:r>
        <w:rPr>
          <w:rFonts w:hint="eastAsia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八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12.8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7FB32B3E">
      <w:pPr>
        <w:kinsoku w:val="0"/>
        <w:autoSpaceDE w:val="0"/>
        <w:autoSpaceDN w:val="0"/>
        <w:adjustRightInd w:val="0"/>
        <w:snapToGrid w:val="0"/>
        <w:spacing w:before="103" w:line="219" w:lineRule="auto"/>
        <w:ind w:firstLine="760" w:firstLineChars="400"/>
        <w:jc w:val="left"/>
        <w:textAlignment w:val="baseline"/>
        <w:rPr>
          <w:snapToGrid w:val="0"/>
          <w:color w:val="000000"/>
          <w:kern w:val="0"/>
          <w:sz w:val="20"/>
          <w:szCs w:val="20"/>
        </w:rPr>
      </w:pPr>
      <w:r>
        <w:rPr>
          <w:snapToGrid w:val="0"/>
          <w:color w:val="000000"/>
          <w:spacing w:val="-5"/>
          <w:kern w:val="0"/>
          <w:sz w:val="20"/>
          <w:szCs w:val="20"/>
        </w:rPr>
        <w:t>班级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2"/>
          <w:kern w:val="0"/>
          <w:sz w:val="20"/>
          <w:szCs w:val="20"/>
        </w:rPr>
        <w:t xml:space="preserve">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姓名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2"/>
          <w:kern w:val="0"/>
          <w:sz w:val="20"/>
          <w:szCs w:val="20"/>
        </w:rPr>
        <w:t xml:space="preserve">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学号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1"/>
          <w:kern w:val="0"/>
          <w:sz w:val="20"/>
          <w:szCs w:val="20"/>
        </w:rPr>
        <w:t xml:space="preserve"> 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成绩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</w:p>
    <w:p w14:paraId="07B66323">
      <w:pPr>
        <w:kinsoku w:val="0"/>
        <w:autoSpaceDE w:val="0"/>
        <w:autoSpaceDN w:val="0"/>
        <w:adjustRightInd w:val="0"/>
        <w:snapToGrid w:val="0"/>
        <w:spacing w:before="175" w:line="219" w:lineRule="auto"/>
        <w:jc w:val="left"/>
        <w:textAlignment w:val="baseline"/>
        <w:rPr>
          <w:b/>
          <w:bCs/>
          <w:snapToGrid w:val="0"/>
          <w:color w:val="000000"/>
          <w:kern w:val="0"/>
          <w:szCs w:val="21"/>
        </w:rPr>
      </w:pPr>
      <w:r>
        <w:rPr>
          <w:b/>
          <w:bCs/>
          <w:snapToGrid w:val="0"/>
          <w:color w:val="000000"/>
          <w:spacing w:val="-2"/>
          <w:kern w:val="0"/>
          <w:szCs w:val="21"/>
        </w:rPr>
        <w:t>一、单项选择题（请将答案填入下表，每小题</w:t>
      </w:r>
      <w:r>
        <w:rPr>
          <w:b/>
          <w:bCs/>
          <w:snapToGrid w:val="0"/>
          <w:color w:val="000000"/>
          <w:spacing w:val="-30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3</w:t>
      </w:r>
      <w:r>
        <w:rPr>
          <w:rFonts w:eastAsia="Times New Roman"/>
          <w:b/>
          <w:bCs/>
          <w:snapToGrid w:val="0"/>
          <w:color w:val="000000"/>
          <w:spacing w:val="-2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分，</w:t>
      </w:r>
      <w:r>
        <w:rPr>
          <w:rFonts w:eastAsia="Times New Roman"/>
          <w:b/>
          <w:bCs/>
          <w:snapToGrid w:val="0"/>
          <w:color w:val="000000"/>
          <w:spacing w:val="-2"/>
          <w:kern w:val="0"/>
          <w:szCs w:val="21"/>
        </w:rPr>
        <w:t>20</w:t>
      </w:r>
      <w:r>
        <w:rPr>
          <w:rFonts w:eastAsia="Times New Roman"/>
          <w:b/>
          <w:bCs/>
          <w:snapToGrid w:val="0"/>
          <w:color w:val="000000"/>
          <w:spacing w:val="11"/>
          <w:w w:val="101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小题，共</w:t>
      </w:r>
      <w:r>
        <w:rPr>
          <w:b/>
          <w:bCs/>
          <w:snapToGrid w:val="0"/>
          <w:color w:val="000000"/>
          <w:spacing w:val="-26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60分）</w:t>
      </w:r>
    </w:p>
    <w:p w14:paraId="088C8C67">
      <w:pPr>
        <w:widowControl/>
        <w:kinsoku w:val="0"/>
        <w:autoSpaceDE w:val="0"/>
        <w:autoSpaceDN w:val="0"/>
        <w:adjustRightInd w:val="0"/>
        <w:snapToGrid w:val="0"/>
        <w:spacing w:line="31" w:lineRule="exact"/>
        <w:jc w:val="left"/>
        <w:textAlignment w:val="baseline"/>
        <w:rPr>
          <w:rFonts w:eastAsia="Arial"/>
          <w:snapToGrid w:val="0"/>
          <w:color w:val="000000"/>
          <w:kern w:val="0"/>
          <w:szCs w:val="21"/>
        </w:rPr>
      </w:pPr>
    </w:p>
    <w:tbl>
      <w:tblPr>
        <w:tblStyle w:val="4"/>
        <w:tblW w:w="102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510"/>
        <w:gridCol w:w="510"/>
        <w:gridCol w:w="510"/>
        <w:gridCol w:w="511"/>
        <w:gridCol w:w="511"/>
        <w:gridCol w:w="511"/>
        <w:gridCol w:w="510"/>
        <w:gridCol w:w="510"/>
        <w:gridCol w:w="511"/>
        <w:gridCol w:w="510"/>
        <w:gridCol w:w="511"/>
        <w:gridCol w:w="510"/>
        <w:gridCol w:w="511"/>
        <w:gridCol w:w="511"/>
        <w:gridCol w:w="511"/>
        <w:gridCol w:w="511"/>
        <w:gridCol w:w="511"/>
        <w:gridCol w:w="511"/>
        <w:gridCol w:w="515"/>
      </w:tblGrid>
      <w:tr w14:paraId="08797C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514" w:type="dxa"/>
          </w:tcPr>
          <w:p w14:paraId="22F93D2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1</w:t>
            </w:r>
          </w:p>
        </w:tc>
        <w:tc>
          <w:tcPr>
            <w:tcW w:w="510" w:type="dxa"/>
          </w:tcPr>
          <w:p w14:paraId="2A80D59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06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2</w:t>
            </w:r>
          </w:p>
        </w:tc>
        <w:tc>
          <w:tcPr>
            <w:tcW w:w="510" w:type="dxa"/>
          </w:tcPr>
          <w:p w14:paraId="6B5C4A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1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3</w:t>
            </w:r>
          </w:p>
        </w:tc>
        <w:tc>
          <w:tcPr>
            <w:tcW w:w="510" w:type="dxa"/>
          </w:tcPr>
          <w:p w14:paraId="1B7C4CE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0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4</w:t>
            </w:r>
          </w:p>
        </w:tc>
        <w:tc>
          <w:tcPr>
            <w:tcW w:w="511" w:type="dxa"/>
          </w:tcPr>
          <w:p w14:paraId="0E09E05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85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5</w:t>
            </w:r>
          </w:p>
        </w:tc>
        <w:tc>
          <w:tcPr>
            <w:tcW w:w="511" w:type="dxa"/>
          </w:tcPr>
          <w:p w14:paraId="279250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6</w:t>
            </w:r>
          </w:p>
        </w:tc>
        <w:tc>
          <w:tcPr>
            <w:tcW w:w="511" w:type="dxa"/>
          </w:tcPr>
          <w:p w14:paraId="3217BBE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85" w:lineRule="auto"/>
              <w:ind w:left="111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7</w:t>
            </w:r>
          </w:p>
        </w:tc>
        <w:tc>
          <w:tcPr>
            <w:tcW w:w="510" w:type="dxa"/>
          </w:tcPr>
          <w:p w14:paraId="3FC6643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8</w:t>
            </w:r>
          </w:p>
        </w:tc>
        <w:tc>
          <w:tcPr>
            <w:tcW w:w="510" w:type="dxa"/>
          </w:tcPr>
          <w:p w14:paraId="70BF5C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0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9</w:t>
            </w:r>
          </w:p>
        </w:tc>
        <w:tc>
          <w:tcPr>
            <w:tcW w:w="511" w:type="dxa"/>
          </w:tcPr>
          <w:p w14:paraId="3E47A17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10</w:t>
            </w:r>
          </w:p>
        </w:tc>
        <w:tc>
          <w:tcPr>
            <w:tcW w:w="510" w:type="dxa"/>
          </w:tcPr>
          <w:p w14:paraId="24D117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6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1"/>
                <w:kern w:val="0"/>
                <w:szCs w:val="21"/>
                <w:lang w:eastAsia="en-US"/>
              </w:rPr>
              <w:t>11</w:t>
            </w:r>
          </w:p>
        </w:tc>
        <w:tc>
          <w:tcPr>
            <w:tcW w:w="511" w:type="dxa"/>
          </w:tcPr>
          <w:p w14:paraId="69D3F8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7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12</w:t>
            </w:r>
          </w:p>
        </w:tc>
        <w:tc>
          <w:tcPr>
            <w:tcW w:w="510" w:type="dxa"/>
          </w:tcPr>
          <w:p w14:paraId="3EE9280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7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13</w:t>
            </w:r>
          </w:p>
        </w:tc>
        <w:tc>
          <w:tcPr>
            <w:tcW w:w="511" w:type="dxa"/>
          </w:tcPr>
          <w:p w14:paraId="330C48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8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14</w:t>
            </w:r>
          </w:p>
        </w:tc>
        <w:tc>
          <w:tcPr>
            <w:tcW w:w="511" w:type="dxa"/>
          </w:tcPr>
          <w:p w14:paraId="179FA5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8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15</w:t>
            </w:r>
          </w:p>
        </w:tc>
        <w:tc>
          <w:tcPr>
            <w:tcW w:w="511" w:type="dxa"/>
          </w:tcPr>
          <w:p w14:paraId="0272FE0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16</w:t>
            </w:r>
          </w:p>
        </w:tc>
        <w:tc>
          <w:tcPr>
            <w:tcW w:w="511" w:type="dxa"/>
          </w:tcPr>
          <w:p w14:paraId="6D610B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17</w:t>
            </w:r>
          </w:p>
        </w:tc>
        <w:tc>
          <w:tcPr>
            <w:tcW w:w="511" w:type="dxa"/>
          </w:tcPr>
          <w:p w14:paraId="27264F9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18</w:t>
            </w:r>
          </w:p>
        </w:tc>
        <w:tc>
          <w:tcPr>
            <w:tcW w:w="511" w:type="dxa"/>
          </w:tcPr>
          <w:p w14:paraId="288221D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19</w:t>
            </w:r>
          </w:p>
        </w:tc>
        <w:tc>
          <w:tcPr>
            <w:tcW w:w="515" w:type="dxa"/>
          </w:tcPr>
          <w:p w14:paraId="3DE5780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2"/>
                <w:kern w:val="0"/>
                <w:szCs w:val="21"/>
                <w:lang w:eastAsia="en-US"/>
              </w:rPr>
              <w:t>20</w:t>
            </w:r>
          </w:p>
        </w:tc>
      </w:tr>
      <w:tr w14:paraId="3A71C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11FE608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5918829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618A050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41F4A5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39597835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46F50F2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145CEFD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48C20E0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061C4321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489CEED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32D02E04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3811CBE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0E94BBF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1C06BDF5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665A725">
            <w:pPr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A225A1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B5AF29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74A68E8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4E7864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5" w:type="dxa"/>
            <w:shd w:val="clear" w:color="auto" w:fill="auto"/>
            <w:vAlign w:val="center"/>
          </w:tcPr>
          <w:p w14:paraId="5282F8D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  <w:bookmarkStart w:id="0" w:name="_GoBack"/>
            <w:bookmarkEnd w:id="0"/>
          </w:p>
        </w:tc>
      </w:tr>
    </w:tbl>
    <w:p w14:paraId="E004F74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 近年来，我国政府高度重视解决发展不平衡、社会保障体系不完善等问题，致力于推进社会公平。国家如此重视公平，是因为</w:t>
      </w:r>
    </w:p>
    <w:p w14:paraId="828020F1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①公平是个人生存和发展的重要保障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②公平是社会稳定和进步的重要基础</w:t>
      </w:r>
    </w:p>
    <w:p w14:paraId="70B5D760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③公平有利于缓和社会矛盾，维护社会秩序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④公平能彻底解决我国当前面临的所有问题</w:t>
      </w:r>
    </w:p>
    <w:p w14:paraId="1ED81160">
      <w:pPr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 ①②③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B. ①②④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C. ①③④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 ②③④</w:t>
      </w:r>
    </w:p>
    <w:p w14:paraId="E2FB798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 “大道之行也，天下为公。”公平正义是一个美好社会应有的价值。下列名言能够体现“公平”的有</w:t>
      </w:r>
    </w:p>
    <w:p w14:paraId="0EB20376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①公与平者，即国之基址也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②人而无礼，焉以为德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③理国要道，在于公平正直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④己所不欲，勿施于人</w:t>
      </w:r>
    </w:p>
    <w:p w14:paraId="11A1D97A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5450840</wp:posOffset>
            </wp:positionH>
            <wp:positionV relativeFrom="paragraph">
              <wp:posOffset>72390</wp:posOffset>
            </wp:positionV>
            <wp:extent cx="1473200" cy="984885"/>
            <wp:effectExtent l="0" t="0" r="5080" b="5715"/>
            <wp:wrapSquare wrapText="bothSides"/>
            <wp:docPr id="5" name="图片 5" descr="59d4f7d7e4fba0cd7573570627348e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9d4f7d7e4fba0cd7573570627348e6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A. ①②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B. ①③</w:t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C. ②④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D. ③④</w:t>
      </w:r>
    </w:p>
    <w:p w14:paraId="60E7BD9B">
      <w:pPr>
        <w:tabs>
          <w:tab w:val="left" w:pos="8618"/>
        </w:tabs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3. 对</w:t>
      </w:r>
      <w:r>
        <w:rPr>
          <w:rFonts w:hint="eastAsia" w:ascii="宋体" w:hAnsi="宋体" w:cs="宋体"/>
          <w:lang w:val="en-US" w:eastAsia="zh-CN"/>
        </w:rPr>
        <w:t>右边</w:t>
      </w:r>
      <w:r>
        <w:rPr>
          <w:rFonts w:hint="eastAsia" w:ascii="宋体" w:hAnsi="宋体" w:eastAsia="宋体" w:cs="宋体"/>
        </w:rPr>
        <w:t>漫画《教育公平与城乡发展》解读正确的是</w:t>
      </w:r>
      <w:r>
        <w:rPr>
          <w:rFonts w:hint="eastAsia" w:ascii="宋体" w:hAnsi="宋体" w:cs="宋体"/>
          <w:lang w:eastAsia="zh-CN"/>
        </w:rPr>
        <w:tab/>
      </w:r>
    </w:p>
    <w:p w14:paraId="8BD80F2F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消除城乡差距，维护社会公平正义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B. 城乡协调发展的关键在教育公平</w:t>
      </w:r>
    </w:p>
    <w:p w14:paraId="3C346484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教育公平有利于促进城乡和谐发展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D. 实现教育公平就能实现乡村振兴</w:t>
      </w:r>
    </w:p>
    <w:p w14:paraId="C4CAB7F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 “人人好公，则天下太平；人人营私，则天下大乱。”这一名言揭示的道理是</w:t>
      </w:r>
    </w:p>
    <w:p w14:paraId="4AC2BAA7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违背公平会受到道德谴责和法律制裁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B. 公平是指处理事情合情合理、不偏不倚</w:t>
      </w:r>
    </w:p>
    <w:p w14:paraId="367F0F45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公平是个人生存和发展的重要保障</w:t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D. 公平是社会稳定和进步的重要基础</w:t>
      </w:r>
    </w:p>
    <w:p w14:paraId="03116184"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 公平通常指人们基于一定标准或原则，处理事情合情合理、不偏不倚。它意味着每个人都拥有同等的发展机会和条件，都要按照规则办事。下列做法违背公平原则的是</w:t>
      </w:r>
    </w:p>
    <w:p w14:paraId="9A02C245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国家保障城乡居民养老保险全覆盖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B. 某商家利用虚假广告误导顾客消费</w:t>
      </w:r>
    </w:p>
    <w:p w14:paraId="4A3458C6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国家大力推进义务教育均衡发展</w:t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D. 小军在公共场所遵守规则自觉排队</w:t>
      </w:r>
    </w:p>
    <w:p w14:paraId="93BEE5CE"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 “十年磨一剑，霜刃未曾试。今日把示君，谁有不平事。”生活中不公平现象时有发生，当我们遭到不公平对待时，我们应该</w:t>
      </w:r>
    </w:p>
    <w:p w14:paraId="CEAD9F0E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①站在公平的立场，学会担当，以公平之心为人处世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②用自己的智慧去说服对方，保证每一件事都完全公平</w:t>
      </w:r>
    </w:p>
    <w:p w14:paraId="48051C53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③敢于对所受到的不公平对待说“不”，敢于表示异议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④用合理合法的方式，努力营造公平的环境</w:t>
      </w:r>
    </w:p>
    <w:p w14:paraId="5C7B28ED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①②③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B. ①②④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C. ①③④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D. ②③④</w:t>
      </w:r>
    </w:p>
    <w:p w14:paraId="38793E7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 近年来，“公平”一词频频出现于《政府工作报告》中。我国政府之所以频频强调公平，是因为</w:t>
      </w:r>
    </w:p>
    <w:p w14:paraId="1D45F271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A．公平要求处理事情合情合理</w:t>
      </w:r>
      <w:r>
        <w:rPr>
          <w:rFonts w:hint="eastAsia" w:ascii="宋体" w:hAnsi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B．维护公平有利于社会的和谐与进步</w:t>
      </w:r>
    </w:p>
    <w:p w14:paraId="341977DE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C．维护公平能够解决所有的社会矛盾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D．公平体现了弘扬真善美、摒弃假恶丑的价值导向</w:t>
      </w:r>
    </w:p>
    <w:p w14:paraId="2AB8B9D2"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 2025年1月以来，有市民陆续反映重庆燃气集团燃气收费异常。对此，重庆市市场监管局、重庆市经济信息委成立调查组，深入开展调查。经核查，重庆燃气集团未认真汲取教训、整改不力，违反了《中华人民共和国消费者权益保护法》第八条规定，市场监管部门拟依法对其违法行为给予从重处罚，责令重庆燃气集团立即整改，并处以罚金共计810万元。对重庆燃气集团的处理</w:t>
      </w:r>
    </w:p>
    <w:p w14:paraId="25137F22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①有利于减少社会矛盾，营造更公平的营商环境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②彰显规则公平，有力保障了消费者合法权益</w:t>
      </w:r>
    </w:p>
    <w:p w14:paraId="3E0E3A05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③警示企业有边界才有秩序，守底线才有自由</w:t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④体现司法维护正义，促进公民增强平等意识</w:t>
      </w:r>
    </w:p>
    <w:p w14:paraId="420EC75E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5151755</wp:posOffset>
            </wp:positionH>
            <wp:positionV relativeFrom="paragraph">
              <wp:posOffset>149225</wp:posOffset>
            </wp:positionV>
            <wp:extent cx="1149985" cy="1090295"/>
            <wp:effectExtent l="0" t="0" r="8255" b="6985"/>
            <wp:wrapSquare wrapText="bothSides"/>
            <wp:docPr id="4" name="图片 4" descr="86dc18db368c2b3c4306009b952895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6dc18db368c2b3c4306009b9528952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A. ①②③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B. ①②④</w:t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C. ①③④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D. ②③④</w:t>
      </w:r>
    </w:p>
    <w:p w14:paraId="F3813C2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 观察</w:t>
      </w:r>
      <w:r>
        <w:rPr>
          <w:rFonts w:hint="eastAsia" w:ascii="宋体" w:hAnsi="宋体" w:cs="宋体"/>
          <w:lang w:val="en-US" w:eastAsia="zh-CN"/>
        </w:rPr>
        <w:t>右边</w:t>
      </w:r>
      <w:r>
        <w:rPr>
          <w:rFonts w:hint="eastAsia" w:ascii="宋体" w:hAnsi="宋体" w:eastAsia="宋体" w:cs="宋体"/>
        </w:rPr>
        <w:t>漫画《清欠农民工工资》，该漫画的寓意是</w:t>
      </w:r>
    </w:p>
    <w:p w14:paraId="14554923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①公平是相对的，没有绝对的公平</w:t>
      </w:r>
    </w:p>
    <w:p w14:paraId="4E1CF1B6">
      <w:pPr>
        <w:ind w:firstLine="210" w:firstLineChars="1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②维护进城务工人员的合法权益，有助于维护和促进社会公平</w:t>
      </w:r>
    </w:p>
    <w:p w14:paraId="E71D4866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③受到不公平对待可以变挫折为动力，把不公平当成垫脚石</w:t>
      </w:r>
    </w:p>
    <w:p w14:paraId="6BBAD93C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④崇尚公平、主持公道，对受到不公平对待的进城务工人员伸出援助之手</w:t>
      </w:r>
    </w:p>
    <w:p w14:paraId="C43DCA46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①②</w:t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B. ①③</w:t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C. ②④</w:t>
      </w:r>
      <w:r>
        <w:rPr>
          <w:rFonts w:hint="eastAsia" w:ascii="宋体" w:hAnsi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D. ③④</w:t>
      </w:r>
    </w:p>
    <w:p w14:paraId="1C888A02">
      <w:pPr>
        <w:ind w:left="210" w:hanging="210" w:hangingChars="1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10. 2025年2月23日发布的《中共中央 国务院关于进一步深化农村改革 扎实推进乡村全面振兴的意见》指出，实现中国式现代化，必须加快推进乡村全面振兴。该意见</w:t>
      </w:r>
    </w:p>
    <w:p w14:paraId="FD9D1220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表明维护社会公平是我国公民应该履行的义务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B. 有利于推动乡村发展，维护社会公平，促进共同富裕</w:t>
      </w:r>
    </w:p>
    <w:p w14:paraId="C1C9F847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体现了维护社会公平，需要每个人努力追求公平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D. 表明公平是相对的，受各种主客观条件的制约</w:t>
      </w:r>
    </w:p>
    <w:p w14:paraId="0D73D6C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. 正义行为是指有利于促进社会进步、维护公共利益的行为。下列属于正义行为的有</w:t>
      </w:r>
    </w:p>
    <w:p w14:paraId="43E4ACF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5681263B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①小华爸爸酒驾不听劝阻，小华及时报警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②小刚在考试时偷偷给小明传答案</w:t>
      </w:r>
    </w:p>
    <w:p w14:paraId="458AE1C1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③小强在放学的路上，看见几个人欺负弱小同学，出手相助④小薇在路上捡到手机和钱包后，将捡到的财物据为己有</w:t>
      </w:r>
    </w:p>
    <w:p w14:paraId="1D8C35FC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5610860</wp:posOffset>
            </wp:positionH>
            <wp:positionV relativeFrom="paragraph">
              <wp:posOffset>12700</wp:posOffset>
            </wp:positionV>
            <wp:extent cx="1273175" cy="756920"/>
            <wp:effectExtent l="0" t="0" r="6985" b="5080"/>
            <wp:wrapSquare wrapText="bothSides"/>
            <wp:docPr id="3" name="图片 3" descr="75c0b9ffca1e9d01bc5ef29e25e7bf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5c0b9ffca1e9d01bc5ef29e25e7bfa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 xml:space="preserve">A. ①③　　B. ①④　　C. ②③　　D. ②④ </w:t>
      </w:r>
    </w:p>
    <w:p w14:paraId="6050C46D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2. 观察</w:t>
      </w:r>
      <w:r>
        <w:rPr>
          <w:rFonts w:hint="eastAsia" w:ascii="宋体" w:hAnsi="宋体" w:cs="宋体"/>
          <w:lang w:val="en-US" w:eastAsia="zh-CN"/>
        </w:rPr>
        <w:t>右</w:t>
      </w:r>
      <w:r>
        <w:rPr>
          <w:rFonts w:hint="eastAsia" w:ascii="宋体" w:hAnsi="宋体" w:eastAsia="宋体" w:cs="宋体"/>
        </w:rPr>
        <w:t>图，你能读出的信息是</w:t>
      </w:r>
    </w:p>
    <w:p w14:paraId="7AE68458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获得资助的学生都能实现上大学的梦想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B. 资助家庭困难学生能实现全民共同富裕</w:t>
      </w:r>
    </w:p>
    <w:p w14:paraId="0DDCE234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教育资助政策体现了社会的公平和正义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 xml:space="preserve">D. 保障了困难学生的社会经济权利的实现 </w:t>
      </w:r>
    </w:p>
    <w:p w14:paraId="554D944B"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3. 2025年3月28日，广州市公安局治安管理支队发布公告，就《广州市见义勇为人员奖励和保障实施办法（征求意见稿）》面向社会公开征求意见，截止日期为2025年4月9日。广州拟出新规保障见义勇为人员是因为</w:t>
      </w:r>
    </w:p>
    <w:p w14:paraId="541A49CA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正义感是人们的行为底线，鼓励人们见义勇为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B. 为了鼓励人们不顾一切与违法犯罪行为作斗争</w:t>
      </w:r>
    </w:p>
    <w:p w14:paraId="0B2A428B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正义保障人的尊严，为见义勇为人员提供物质帮助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 xml:space="preserve">D. 正义营造风清气正的社会风尚，需要公民共同守护 </w:t>
      </w:r>
    </w:p>
    <w:p w14:paraId="7FE93362"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 xml:space="preserve">4. 2025年3月，何子龙入选2025年第一季度“中国好人”广东省候选人名单。6岁时，何子龙不幸失去双臂，他便使用嘴巴苦练书法20余年，并于2015年在全国残疾人运动会开幕式上展示“口书”技艺。同时，他开展直播和公益事业，至今已帮助500多名残障人士实现就业增收。对此，你的看法是 </w:t>
      </w:r>
    </w:p>
    <w:p w14:paraId="3FA71553">
      <w:pPr>
        <w:ind w:firstLine="210" w:firstLineChars="10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</w:rPr>
        <w:t>A. 何子龙履行了法定义务，保障了残障人士的劳动权</w:t>
      </w:r>
      <w:r>
        <w:rPr>
          <w:rFonts w:hint="eastAsia" w:ascii="宋体" w:hAnsi="宋体" w:cs="宋体"/>
          <w:lang w:val="en-US" w:eastAsia="zh-CN"/>
        </w:rPr>
        <w:t xml:space="preserve">  </w:t>
      </w:r>
    </w:p>
    <w:p w14:paraId="7D274D09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 何子龙的行为表明实现公平正义是所有人的毕生追求</w:t>
      </w:r>
    </w:p>
    <w:p w14:paraId="513FB901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何子龙帮助残障人士实现就业增收，是为了获得物质回报</w:t>
      </w:r>
    </w:p>
    <w:p w14:paraId="6536E7C4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 何子龙的行为有利于弘扬正义精神，维护社会的公平正义</w:t>
      </w:r>
    </w:p>
    <w:p w14:paraId="3CC02C95"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5. 在公交车被劫持的危急时刻，济南公交K52路驾驶员董丹沉着应对，与劫匪斗智斗勇、巧妙周旋，不仅将全车20余名乘客安全疏散，而且配合民警将劫匪制服。下列对此认识正确的有</w:t>
      </w:r>
    </w:p>
    <w:p w14:paraId="534B2822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①珍爱别人的生命比珍爱自己的生命重要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②董丹的行为是正义行为，维护了公共利益</w:t>
      </w:r>
    </w:p>
    <w:p w14:paraId="0DC60752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③守护正义需要勇气和智慧，做到见义勇为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 xml:space="preserve">④公正司法对社会公正具有重要引领作用 </w:t>
      </w:r>
    </w:p>
    <w:p w14:paraId="6B70DEBB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①②　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　B. ①④　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　C. ②③　　D. ③④</w:t>
      </w:r>
    </w:p>
    <w:p w14:paraId="3061F219"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6. 2025年3月，中央政法委发布2025年第一季度见义勇为勇士榜。甘肃省临夏市第三中学学生马文轩、王武斌、马斌、高一帆四名中学生上榜。在公交车司机突然昏厥的情况下，四名学生紧急制动停下公交车，避免一场重大车祸的发生。四人抢险救人的行为被确认为见义勇为行为。四名中学生的做法</w:t>
      </w:r>
    </w:p>
    <w:p w14:paraId="30EF2D81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过于鲁莽，结果良好但方法欠妥</w:t>
      </w:r>
      <w:r>
        <w:rPr>
          <w:rFonts w:hint="eastAsia" w:ascii="宋体" w:hAnsi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B. 表明正义的行为必定能得到嘉奖</w:t>
      </w:r>
    </w:p>
    <w:p w14:paraId="2A3ACD87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为匡扶正义、弘扬社会正气注入了力量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D. 说明制度的正义既保护弱者也守护善良</w:t>
      </w:r>
    </w:p>
    <w:p w14:paraId="6CB11FDF">
      <w:pPr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7. “我有了开始新生活的希望！”收到司法救助金后，王先生的激动之情溢于言表。此前，身患残疾的他因司法案件中经济帮助费落实困难而陷入困境。法有尺度，亦有温度，当地人民法院干警在了解情况后伸出援手，为他申请了司法救助，解了燃眉之急。司法救助这一制度</w:t>
      </w:r>
    </w:p>
    <w:p w14:paraId="782DCE63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有利于促进司法公正，维护社会公平正义</w:t>
      </w: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B. 说明守护正义需要勇气和智慧</w:t>
      </w:r>
    </w:p>
    <w:p w14:paraId="049AF3E8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表明法律反映的是最广大人民群众的利益</w:t>
      </w: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 xml:space="preserve">D. 能让所有公民都获得基本的生存保障 </w:t>
      </w:r>
    </w:p>
    <w:p w14:paraId="64C223ED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楷体" w:hAnsi="楷体" w:eastAsia="楷体" w:cs="楷体"/>
        </w:rPr>
        <w:t>方某某（女）与徐某某原系夫妻，某日方某某被徐某某打伤，方某某向公安局报案，人民法院判决徐某某犯故意伤害罪，被判处有期徒刑七个月。当地红十字会及时安排专业心理咨询师，对方某某进行心理安抚和疏导。人民检察院还发现方某某符合司法救助条件，遂发放司法救助金4万元。</w:t>
      </w:r>
      <w:r>
        <w:rPr>
          <w:rFonts w:hint="eastAsia" w:ascii="楷体" w:hAnsi="楷体" w:eastAsia="楷体" w:cs="楷体"/>
          <w:lang w:val="en-US" w:eastAsia="zh-CN"/>
        </w:rPr>
        <w:t>据此，完成第18-19题。</w:t>
      </w:r>
      <w:r>
        <w:rPr>
          <w:rFonts w:hint="eastAsia" w:ascii="宋体" w:hAnsi="宋体" w:eastAsia="宋体" w:cs="宋体"/>
        </w:rPr>
        <w:t xml:space="preserve"> </w:t>
      </w:r>
    </w:p>
    <w:p w14:paraId="410CD727"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8. 以下对该案例的点评正确的有</w:t>
      </w:r>
    </w:p>
    <w:p w14:paraId="312138A5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①徐某某未履行遵守宪法法律的基本义务，受到了行政处罚</w:t>
      </w:r>
    </w:p>
    <w:p w14:paraId="66F9D061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②规则划定自由的边界，我们要积极参与规则的改进和完善</w:t>
      </w:r>
    </w:p>
    <w:p w14:paraId="114D5CC0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③司法机关依法公正行使司法权，维护了社会的公平与正义</w:t>
      </w:r>
    </w:p>
    <w:p w14:paraId="730827F4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④各方解决方某某急难愁盼的问题，做到了尊重和保障人权</w:t>
      </w:r>
    </w:p>
    <w:p w14:paraId="65EBA5B0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①②　　B. ①③　　C. ②④　　D. ③④</w:t>
      </w:r>
    </w:p>
    <w:p w14:paraId="79DB06EB"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9. 下列在社会生活中对保障妇女合法权益建议不恰当的是</w:t>
      </w:r>
    </w:p>
    <w:p w14:paraId="074F9D38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抵制各种针对妇女的网络暴力，培育健康、向上向善的网络文化</w:t>
      </w:r>
    </w:p>
    <w:p w14:paraId="5886EC81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 充分发挥法律保护作用，制裁各种侵害妇女权益的违法犯罪行为</w:t>
      </w:r>
    </w:p>
    <w:p w14:paraId="403D6620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举办妇女维权专题活动，增强妇女群体的法治意识和维权的能力</w:t>
      </w:r>
    </w:p>
    <w:p w14:paraId="29002E94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 解决妇女就业歧视问题，应不同情况差别对待，赋予妇女特权</w:t>
      </w:r>
    </w:p>
    <w:p w14:paraId="345F1028"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0. 中国始终是国际正义的坚定守护者。下列做法最能体现这一立场的是</w:t>
      </w:r>
    </w:p>
    <w:p w14:paraId="00ECCB1D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实施乡村振兴战略，缩小城乡发展差距</w:t>
      </w:r>
      <w:r>
        <w:rPr>
          <w:rFonts w:hint="eastAsia" w:ascii="宋体" w:hAnsi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</w:rPr>
        <w:t>B. 主办国际进口博览会，扩大全球贸易合作</w:t>
      </w:r>
    </w:p>
    <w:p w14:paraId="E3961A2E"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积极参与联合国维和行动，促进冲突地区和平</w:t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D. 开展“汉语桥”文化交流活动，促进语言互通</w:t>
      </w:r>
    </w:p>
    <w:sectPr>
      <w:pgSz w:w="11906" w:h="16838"/>
      <w:pgMar w:top="550" w:right="493" w:bottom="550" w:left="4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4B44C8"/>
    <w:rsid w:val="08375E1F"/>
    <w:rsid w:val="16BD0CC4"/>
    <w:rsid w:val="27FA25B3"/>
    <w:rsid w:val="2D1A7D10"/>
    <w:rsid w:val="39E44E71"/>
    <w:rsid w:val="3A0F4AF3"/>
    <w:rsid w:val="407C22A8"/>
    <w:rsid w:val="55867AA4"/>
    <w:rsid w:val="5B47134C"/>
    <w:rsid w:val="68DD6BF0"/>
    <w:rsid w:val="73ED1854"/>
    <w:rsid w:val="76925B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3177</Words>
  <Characters>3349</Characters>
  <Paragraphs>78</Paragraphs>
  <TotalTime>2</TotalTime>
  <ScaleCrop>false</ScaleCrop>
  <LinksUpToDate>false</LinksUpToDate>
  <CharactersWithSpaces>3946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2025-12-07T09:57:00Z</dcterms:created>
  <dc:creator>PLR-AL30</dc:creator>
  <cp:lastModifiedBy>Jieling</cp:lastModifiedBy>
  <dcterms:modified xsi:type="dcterms:W3CDTF">2025-12-07T12:25:09Z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F216B44B787E4733AAB78470F02A2F0D_13</vt:lpwstr>
  </property>
  <property fmtid="{D5CDD505-2E9C-101B-9397-08002B2CF9AE}" pid="3" name="KSOTemplateDocerSaveRecord">
    <vt:lpwstr>eyJoZGlkIjoiN2YzNjBkOTgyNWQ1YTMxYzM3MzMwNWFiODNmOWIzYWMiLCJ1c2VySWQiOiI4NTc0MjI3NTcifQ==</vt:lpwstr>
  </property>
  <property fmtid="{D5CDD505-2E9C-101B-9397-08002B2CF9AE}" pid="4" name="KSOProductBuildVer">
    <vt:lpwstr>2052-12.1.0.24034</vt:lpwstr>
  </property>
</Properties>
</file>